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77" w:rsidRPr="003C3E77" w:rsidRDefault="00FE3FAC" w:rsidP="003C3E77">
      <w:pPr>
        <w:autoSpaceDE w:val="0"/>
        <w:autoSpaceDN w:val="0"/>
        <w:adjustRightInd w:val="0"/>
        <w:spacing w:after="0" w:line="240" w:lineRule="auto"/>
        <w:rPr>
          <w:rFonts w:ascii="HelveticaNeueLT Std Med Cn" w:hAnsi="HelveticaNeueLT Std Med Cn" w:cs="CorpidCd-Bold--Identity-H"/>
          <w:b/>
          <w:bCs/>
          <w:color w:val="1C0F00"/>
          <w:sz w:val="44"/>
          <w:szCs w:val="70"/>
        </w:rPr>
      </w:pPr>
      <w:bookmarkStart w:id="0" w:name="_GoBack"/>
      <w:bookmarkEnd w:id="0"/>
      <w:r>
        <w:rPr>
          <w:rFonts w:ascii="HelveticaNeueLT Std Med Cn" w:hAnsi="HelveticaNeueLT Std Med Cn" w:cs="CorpidCd-Bold--Identity-H"/>
          <w:b/>
          <w:bCs/>
          <w:color w:val="1C0F00"/>
          <w:sz w:val="44"/>
          <w:szCs w:val="70"/>
        </w:rPr>
        <w:t>Gegen Plastik in der Biotonne</w:t>
      </w:r>
    </w:p>
    <w:p w:rsidR="003C3E77" w:rsidRDefault="003C3E77" w:rsidP="003C3E77">
      <w:pPr>
        <w:autoSpaceDE w:val="0"/>
        <w:autoSpaceDN w:val="0"/>
        <w:adjustRightInd w:val="0"/>
        <w:spacing w:after="0" w:line="240" w:lineRule="auto"/>
        <w:rPr>
          <w:rFonts w:ascii="Corpid-Bold--Identity-H" w:hAnsi="Corpid-Bold--Identity-H" w:cs="Corpid-Bold--Identity-H"/>
          <w:b/>
          <w:bCs/>
          <w:color w:val="1C0F00"/>
          <w:sz w:val="18"/>
          <w:szCs w:val="18"/>
        </w:rPr>
      </w:pPr>
      <w:r>
        <w:rPr>
          <w:rFonts w:ascii="TheAntiqua-B4SemiLight--Identit" w:hAnsi="TheAntiqua-B4SemiLight--Identit" w:cs="TheAntiqua-B4SemiLight--Identit"/>
          <w:color w:val="1C0F00"/>
          <w:sz w:val="28"/>
          <w:szCs w:val="28"/>
        </w:rPr>
        <w:t>Die KAVG kämpft mit der Kampagne „#</w:t>
      </w:r>
      <w:proofErr w:type="spellStart"/>
      <w:r>
        <w:rPr>
          <w:rFonts w:ascii="TheAntiqua-B4SemiLight--Identit" w:hAnsi="TheAntiqua-B4SemiLight--Identit" w:cs="TheAntiqua-B4SemiLight--Identit"/>
          <w:color w:val="1C0F00"/>
          <w:sz w:val="28"/>
          <w:szCs w:val="28"/>
        </w:rPr>
        <w:t>wirfuerbio</w:t>
      </w:r>
      <w:proofErr w:type="spellEnd"/>
      <w:r>
        <w:rPr>
          <w:rFonts w:ascii="TheAntiqua-B4SemiLight--Identit" w:hAnsi="TheAntiqua-B4SemiLight--Identit" w:cs="TheAntiqua-B4SemiLight--Identit"/>
          <w:color w:val="1C0F00"/>
          <w:sz w:val="28"/>
          <w:szCs w:val="28"/>
        </w:rPr>
        <w:t>“</w:t>
      </w:r>
      <w:r w:rsidR="00FE3FAC">
        <w:rPr>
          <w:rFonts w:ascii="TheAntiqua-B4SemiLight--Identit" w:hAnsi="TheAntiqua-B4SemiLight--Identit" w:cs="TheAntiqua-B4SemiLight--Identit"/>
          <w:color w:val="1C0F00"/>
          <w:sz w:val="28"/>
          <w:szCs w:val="28"/>
        </w:rPr>
        <w:t xml:space="preserve"> für sauberen Bioabfall</w:t>
      </w:r>
    </w:p>
    <w:p w:rsidR="00FE3FAC" w:rsidRDefault="00FE3FAC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</w:p>
    <w:p w:rsidR="00FE3FAC" w:rsidRPr="00683EEA" w:rsidRDefault="00FE3FAC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b/>
          <w:bCs/>
          <w:color w:val="1C0F00"/>
        </w:rPr>
      </w:pPr>
      <w:r w:rsidRPr="00683EEA">
        <w:rPr>
          <w:rFonts w:ascii="TheAntiqua-B4SemiLight--Identit" w:hAnsi="TheAntiqua-B4SemiLight--Identit" w:cs="TheAntiqua-B4SemiLight--Identit"/>
          <w:b/>
          <w:bCs/>
          <w:color w:val="1C0F00"/>
        </w:rPr>
        <w:t xml:space="preserve">Über die KAVG (KreisAbfallVerwertungsGesellschaft mbH Minden-Lübbecke): </w:t>
      </w:r>
    </w:p>
    <w:p w:rsidR="00FE3FAC" w:rsidRPr="00FE3FAC" w:rsidRDefault="00FE3FAC" w:rsidP="00FE3FAC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FE3FAC">
        <w:rPr>
          <w:rFonts w:ascii="TheAntiqua-B4SemiLight--Identit" w:hAnsi="TheAntiqua-B4SemiLight--Identit" w:cs="TheAntiqua-B4SemiLight--Identit"/>
          <w:color w:val="1C0F00"/>
        </w:rPr>
        <w:t>K</w:t>
      </w:r>
      <w:r w:rsidR="003C3E77" w:rsidRPr="00FE3FAC">
        <w:rPr>
          <w:rFonts w:ascii="TheAntiqua-B4SemiLight--Identit" w:hAnsi="TheAntiqua-B4SemiLight--Identit" w:cs="TheAntiqua-B4SemiLight--Identit"/>
          <w:color w:val="1C0F00"/>
        </w:rPr>
        <w:t>ommunale</w:t>
      </w:r>
      <w:r w:rsidRPr="00FE3FAC">
        <w:rPr>
          <w:rFonts w:ascii="TheAntiqua-B4SemiLight--Identit" w:hAnsi="TheAntiqua-B4SemiLight--Identit" w:cs="TheAntiqua-B4SemiLight--Identit"/>
          <w:color w:val="1C0F00"/>
        </w:rPr>
        <w:t>s</w:t>
      </w:r>
      <w:r w:rsidR="003C3E77" w:rsidRPr="00FE3FAC">
        <w:rPr>
          <w:rFonts w:ascii="TheAntiqua-B4SemiLight--Identit" w:hAnsi="TheAntiqua-B4SemiLight--Identit" w:cs="TheAntiqua-B4SemiLight--Identit"/>
          <w:color w:val="1C0F00"/>
        </w:rPr>
        <w:t xml:space="preserve"> Unternehmen der Abfallwirtschaft</w:t>
      </w:r>
      <w:r w:rsidRPr="00FE3FAC">
        <w:rPr>
          <w:rFonts w:ascii="TheAntiqua-B4SemiLight--Identit" w:hAnsi="TheAntiqua-B4SemiLight--Identit" w:cs="TheAntiqua-B4SemiLight--Identit"/>
          <w:color w:val="1C0F00"/>
        </w:rPr>
        <w:t xml:space="preserve"> (</w:t>
      </w:r>
      <w:r w:rsidR="003C3E77" w:rsidRPr="00FE3FAC">
        <w:rPr>
          <w:rFonts w:ascii="TheAntiqua-B4SemiLight--Identit" w:hAnsi="TheAntiqua-B4SemiLight--Identit" w:cs="TheAntiqua-B4SemiLight--Identit"/>
          <w:color w:val="1C0F00"/>
        </w:rPr>
        <w:t>Tochtergesellschaft des Landkreises Minden-Lübbecke</w:t>
      </w:r>
      <w:r w:rsidRPr="00FE3FAC">
        <w:rPr>
          <w:rFonts w:ascii="TheAntiqua-B4SemiLight--Identit" w:hAnsi="TheAntiqua-B4SemiLight--Identit" w:cs="TheAntiqua-B4SemiLight--Identit"/>
          <w:color w:val="1C0F00"/>
        </w:rPr>
        <w:t>)</w:t>
      </w:r>
      <w:r>
        <w:rPr>
          <w:rFonts w:ascii="TheAntiqua-B4SemiLight--Identit" w:hAnsi="TheAntiqua-B4SemiLight--Identit" w:cs="TheAntiqua-B4SemiLight--Identit"/>
          <w:color w:val="1C0F00"/>
        </w:rPr>
        <w:t xml:space="preserve">, 130 Mitarbeiter, </w:t>
      </w:r>
      <w:r w:rsidR="00B87513">
        <w:rPr>
          <w:rFonts w:ascii="TheAntiqua-B4SemiLight--Identit" w:hAnsi="TheAntiqua-B4SemiLight--Identit" w:cs="TheAntiqua-B4SemiLight--Identit"/>
          <w:color w:val="1C0F00"/>
        </w:rPr>
        <w:t>6 Standorte sowie mehrere Blockheizkraftwerke (BHKW)</w:t>
      </w:r>
    </w:p>
    <w:p w:rsidR="00FE3FAC" w:rsidRDefault="00FE3FAC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</w:p>
    <w:p w:rsidR="00C34965" w:rsidRPr="00C34965" w:rsidRDefault="00C34965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b/>
          <w:bCs/>
          <w:color w:val="1C0F00"/>
        </w:rPr>
      </w:pPr>
      <w:r w:rsidRPr="00C34965">
        <w:rPr>
          <w:rFonts w:ascii="TheAntiqua-B4SemiLight--Identit" w:hAnsi="TheAntiqua-B4SemiLight--Identit" w:cs="TheAntiqua-B4SemiLight--Identit"/>
          <w:b/>
          <w:bCs/>
          <w:color w:val="1C0F00"/>
        </w:rPr>
        <w:t xml:space="preserve">Standorte: 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Entsorgungszentrum Pohlsche Heide in Hille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Wertstoffhof Aussieker in Lübbecke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Verwaltung Portastraße (Schinkelbau)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Heizkraftwerk Minden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Energiezentrale des JWK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Sickerwasserkläranlage Heisterholz</w:t>
      </w:r>
    </w:p>
    <w:p w:rsidR="00C34965" w:rsidRPr="00B87513" w:rsidRDefault="00C34965" w:rsidP="00B87513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BHKWS (z.B. Kreishaus, Krankenhaus Bad Oeynhausen, </w:t>
      </w:r>
      <w:proofErr w:type="spellStart"/>
      <w:r w:rsidRPr="00B87513">
        <w:rPr>
          <w:rFonts w:ascii="TheAntiqua-B4SemiLight--Identit" w:hAnsi="TheAntiqua-B4SemiLight--Identit" w:cs="TheAntiqua-B4SemiLight--Identit"/>
          <w:color w:val="1C0F00"/>
        </w:rPr>
        <w:t>Kampahalle</w:t>
      </w:r>
      <w:proofErr w:type="spellEnd"/>
      <w:r w:rsidRPr="00B87513">
        <w:rPr>
          <w:rFonts w:ascii="TheAntiqua-B4SemiLight--Identit" w:hAnsi="TheAntiqua-B4SemiLight--Identit" w:cs="TheAntiqua-B4SemiLight--Identit"/>
          <w:color w:val="1C0F00"/>
        </w:rPr>
        <w:t>)</w:t>
      </w:r>
    </w:p>
    <w:p w:rsidR="00C34965" w:rsidRPr="00FE3FAC" w:rsidRDefault="00C34965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</w:p>
    <w:p w:rsidR="00FE3FAC" w:rsidRPr="00C34965" w:rsidRDefault="00FE3FAC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b/>
          <w:bCs/>
          <w:color w:val="1C0F00"/>
        </w:rPr>
      </w:pPr>
      <w:r w:rsidRPr="00C34965">
        <w:rPr>
          <w:rFonts w:ascii="TheAntiqua-B4SemiLight--Identit" w:hAnsi="TheAntiqua-B4SemiLight--Identit" w:cs="TheAntiqua-B4SemiLight--Identit"/>
          <w:b/>
          <w:bCs/>
          <w:color w:val="1C0F00"/>
        </w:rPr>
        <w:t xml:space="preserve">Aufgabe: </w:t>
      </w:r>
    </w:p>
    <w:p w:rsidR="00FE3FAC" w:rsidRPr="00B87513" w:rsidRDefault="00FE3FAC" w:rsidP="00B87513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Entsorgung </w:t>
      </w:r>
      <w:r w:rsidR="00B87513" w:rsidRPr="00B87513">
        <w:rPr>
          <w:rFonts w:ascii="TheAntiqua-B4SemiLight--Identit" w:hAnsi="TheAntiqua-B4SemiLight--Identit" w:cs="TheAntiqua-B4SemiLight--Identit"/>
          <w:color w:val="1C0F00"/>
        </w:rPr>
        <w:t xml:space="preserve">und Verwertung </w:t>
      </w:r>
      <w:r w:rsidRPr="00B87513">
        <w:rPr>
          <w:rFonts w:ascii="TheAntiqua-B4SemiLight--Identit" w:hAnsi="TheAntiqua-B4SemiLight--Identit" w:cs="TheAntiqua-B4SemiLight--Identit"/>
          <w:color w:val="1C0F00"/>
        </w:rPr>
        <w:t>des im Kreis Minden-Lübbecke anfallenden Abfall</w:t>
      </w:r>
      <w:r w:rsidR="00C34965" w:rsidRPr="00B87513">
        <w:rPr>
          <w:rFonts w:ascii="TheAntiqua-B4SemiLight--Identit" w:hAnsi="TheAntiqua-B4SemiLight--Identit" w:cs="TheAntiqua-B4SemiLight--Identit"/>
          <w:color w:val="1C0F00"/>
        </w:rPr>
        <w:t>s</w:t>
      </w: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 im Auftrag des öffentlichen Entsorgungsträgers. </w:t>
      </w:r>
    </w:p>
    <w:p w:rsidR="003C3E77" w:rsidRPr="00B87513" w:rsidRDefault="00FE3FAC" w:rsidP="00B87513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Schließen von Kreisläufen durch das</w:t>
      </w:r>
      <w:r w:rsidR="003C3E77" w:rsidRPr="00B87513">
        <w:rPr>
          <w:rFonts w:ascii="TheAntiqua-B4SemiLight--Identit" w:hAnsi="TheAntiqua-B4SemiLight--Identit" w:cs="TheAntiqua-B4SemiLight--Identit"/>
          <w:color w:val="1C0F00"/>
        </w:rPr>
        <w:t xml:space="preserve"> Zusammenspiel von Abfallentsorgung und regenerativer</w:t>
      </w: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3C3E77" w:rsidRPr="00B87513">
        <w:rPr>
          <w:rFonts w:ascii="TheAntiqua-B4SemiLight--Identit" w:hAnsi="TheAntiqua-B4SemiLight--Identit" w:cs="TheAntiqua-B4SemiLight--Identit"/>
          <w:color w:val="1C0F00"/>
        </w:rPr>
        <w:t>Energieerzeugung</w:t>
      </w:r>
    </w:p>
    <w:p w:rsidR="00FE3FAC" w:rsidRDefault="00FE3FAC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</w:p>
    <w:p w:rsidR="000B04C1" w:rsidRPr="00B87513" w:rsidRDefault="000B04C1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b/>
          <w:bCs/>
          <w:color w:val="1C0F00"/>
        </w:rPr>
      </w:pPr>
      <w:r w:rsidRPr="00B87513">
        <w:rPr>
          <w:rFonts w:ascii="TheAntiqua-B4SemiLight--Identit" w:hAnsi="TheAntiqua-B4SemiLight--Identit" w:cs="TheAntiqua-B4SemiLight--Identit"/>
          <w:b/>
          <w:bCs/>
          <w:color w:val="1C0F00"/>
        </w:rPr>
        <w:t>Problematik „Bioabfall“:</w:t>
      </w:r>
    </w:p>
    <w:p w:rsidR="00EF6A56" w:rsidRPr="00683EEA" w:rsidRDefault="00EF6A56" w:rsidP="00EF6A56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683EEA">
        <w:rPr>
          <w:rFonts w:ascii="TheAntiqua-B4SemiLight--Identit" w:hAnsi="TheAntiqua-B4SemiLight--Identit" w:cs="TheAntiqua-B4SemiLight--Identit"/>
          <w:color w:val="1C0F00"/>
        </w:rPr>
        <w:t xml:space="preserve">Störstoffe </w:t>
      </w:r>
      <w:r w:rsidRPr="00B87513">
        <w:rPr>
          <w:rFonts w:ascii="TheAntiqua-B4SemiLight--Identit" w:hAnsi="TheAntiqua-B4SemiLight--Identit" w:cs="TheAntiqua-B4SemiLight--Identit"/>
          <w:color w:val="1C0F00"/>
        </w:rPr>
        <w:t>wie z.B. Plastik, Glas, aber besonders die sog. „kompostierbaren“ Folienbeutel und Produkte</w:t>
      </w:r>
      <w:r>
        <w:rPr>
          <w:rFonts w:ascii="TheAntiqua-B4SemiLight--Identit" w:hAnsi="TheAntiqua-B4SemiLight--Identit" w:cs="TheAntiqua-B4SemiLight--Identit"/>
          <w:color w:val="1C0F00"/>
        </w:rPr>
        <w:t xml:space="preserve"> werden </w:t>
      </w:r>
      <w:r w:rsidRPr="00683EEA">
        <w:rPr>
          <w:rFonts w:ascii="TheAntiqua-B4SemiLight--Identit" w:hAnsi="TheAntiqua-B4SemiLight--Identit" w:cs="TheAntiqua-B4SemiLight--Identit"/>
          <w:color w:val="1C0F00"/>
        </w:rPr>
        <w:t xml:space="preserve">zum Teil gutgläubig (kompostierbare Tüten), gedankenlos (Grünabfall samt Plastik-Pflanztopf entsorgen) oder auch immer wieder böswillig („Restmülltonne </w:t>
      </w:r>
      <w:r w:rsidR="00A627FA">
        <w:rPr>
          <w:rFonts w:ascii="TheAntiqua-B4SemiLight--Identit" w:hAnsi="TheAntiqua-B4SemiLight--Identit" w:cs="TheAntiqua-B4SemiLight--Identit"/>
          <w:color w:val="1C0F00"/>
        </w:rPr>
        <w:t xml:space="preserve">schon </w:t>
      </w:r>
      <w:r w:rsidRPr="00683EEA">
        <w:rPr>
          <w:rFonts w:ascii="TheAntiqua-B4SemiLight--Identit" w:hAnsi="TheAntiqua-B4SemiLight--Identit" w:cs="TheAntiqua-B4SemiLight--Identit"/>
          <w:color w:val="1C0F00"/>
        </w:rPr>
        <w:t>voll“) in de</w:t>
      </w:r>
      <w:r>
        <w:rPr>
          <w:rFonts w:ascii="TheAntiqua-B4SemiLight--Identit" w:hAnsi="TheAntiqua-B4SemiLight--Identit" w:cs="TheAntiqua-B4SemiLight--Identit"/>
          <w:color w:val="1C0F00"/>
        </w:rPr>
        <w:t>r</w:t>
      </w:r>
      <w:r w:rsidRPr="00683EEA">
        <w:rPr>
          <w:rFonts w:ascii="TheAntiqua-B4SemiLight--Identit" w:hAnsi="TheAntiqua-B4SemiLight--Identit" w:cs="TheAntiqua-B4SemiLight--Identit"/>
          <w:color w:val="1C0F00"/>
        </w:rPr>
        <w:t xml:space="preserve"> Bio</w:t>
      </w:r>
      <w:r>
        <w:rPr>
          <w:rFonts w:ascii="TheAntiqua-B4SemiLight--Identit" w:hAnsi="TheAntiqua-B4SemiLight--Identit" w:cs="TheAntiqua-B4SemiLight--Identit"/>
          <w:color w:val="1C0F00"/>
        </w:rPr>
        <w:t>tonne entsorgt</w:t>
      </w:r>
      <w:r w:rsidRPr="00683EEA">
        <w:rPr>
          <w:rFonts w:ascii="TheAntiqua-B4SemiLight--Identit" w:hAnsi="TheAntiqua-B4SemiLight--Identit" w:cs="TheAntiqua-B4SemiLight--Identit"/>
          <w:color w:val="1C0F00"/>
        </w:rPr>
        <w:t>.</w:t>
      </w:r>
    </w:p>
    <w:p w:rsidR="00B87513" w:rsidRDefault="00EF6A56" w:rsidP="00B875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>
        <w:rPr>
          <w:rFonts w:ascii="TheAntiqua-B4SemiLight--Identit" w:hAnsi="TheAntiqua-B4SemiLight--Identit" w:cs="TheAntiqua-B4SemiLight--Identit"/>
          <w:color w:val="1C0F00"/>
        </w:rPr>
        <w:t xml:space="preserve">Diese </w:t>
      </w:r>
      <w:r w:rsidR="000B04C1" w:rsidRPr="00B87513">
        <w:rPr>
          <w:rFonts w:ascii="TheAntiqua-B4SemiLight--Identit" w:hAnsi="TheAntiqua-B4SemiLight--Identit" w:cs="TheAntiqua-B4SemiLight--Identit"/>
          <w:color w:val="1C0F00"/>
        </w:rPr>
        <w:t xml:space="preserve">Störstoffe </w:t>
      </w:r>
      <w:r w:rsidR="00A627FA">
        <w:rPr>
          <w:rFonts w:ascii="TheAntiqua-B4SemiLight--Identit" w:hAnsi="TheAntiqua-B4SemiLight--Identit" w:cs="TheAntiqua-B4SemiLight--Identit"/>
          <w:color w:val="1C0F00"/>
        </w:rPr>
        <w:t xml:space="preserve">erschweren </w:t>
      </w:r>
      <w:r w:rsidR="000B04C1" w:rsidRPr="00B87513">
        <w:rPr>
          <w:rFonts w:ascii="TheAntiqua-B4SemiLight--Identit" w:hAnsi="TheAntiqua-B4SemiLight--Identit" w:cs="TheAntiqua-B4SemiLight--Identit"/>
          <w:color w:val="1C0F00"/>
        </w:rPr>
        <w:t>die fachgerechte Weiterverarbeitung des Bioabfalls im eigenen Kompostwerk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 xml:space="preserve"> zu hochwertigem, RAL-zertifiziertem Humus</w:t>
      </w:r>
      <w:r w:rsidR="00683EEA">
        <w:rPr>
          <w:rFonts w:ascii="TheAntiqua-B4SemiLight--Identit" w:hAnsi="TheAntiqua-B4SemiLight--Identit" w:cs="TheAntiqua-B4SemiLight--Identit"/>
          <w:color w:val="1C0F00"/>
        </w:rPr>
        <w:t xml:space="preserve"> (im Schnitt bis zu 4 kg Störstoffe in 100 kg Bioabfall)</w:t>
      </w:r>
    </w:p>
    <w:p w:rsidR="000B04C1" w:rsidRPr="00B87513" w:rsidRDefault="000B04C1" w:rsidP="00B87513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Um die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 xml:space="preserve"> geforderte</w:t>
      </w: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EF6A56">
        <w:rPr>
          <w:rFonts w:ascii="TheAntiqua-B4SemiLight--Identit" w:hAnsi="TheAntiqua-B4SemiLight--Identit" w:cs="TheAntiqua-B4SemiLight--Identit"/>
          <w:color w:val="1C0F00"/>
        </w:rPr>
        <w:t>Humus-</w:t>
      </w:r>
      <w:r w:rsidRPr="00B87513">
        <w:rPr>
          <w:rFonts w:ascii="TheAntiqua-B4SemiLight--Identit" w:hAnsi="TheAntiqua-B4SemiLight--Identit" w:cs="TheAntiqua-B4SemiLight--Identit"/>
          <w:color w:val="1C0F00"/>
        </w:rPr>
        <w:t>Qualität zu erreichen, kann aufgrund der Störstoffe deutlich weniger Bioabfall zu Humusprodukten verwertet werden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 xml:space="preserve">. Dadurch endet ein zu großer Anteil des Bioabfalls </w:t>
      </w: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als sog. 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>„</w:t>
      </w:r>
      <w:r w:rsidRPr="00B87513">
        <w:rPr>
          <w:rFonts w:ascii="TheAntiqua-B4SemiLight--Identit" w:hAnsi="TheAntiqua-B4SemiLight--Identit" w:cs="TheAntiqua-B4SemiLight--Identit"/>
          <w:color w:val="1C0F00"/>
        </w:rPr>
        <w:t>Ersatzbrennstoff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>“ im Heizkraftwerk</w:t>
      </w:r>
      <w:r w:rsidRPr="00B87513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 xml:space="preserve">statt </w:t>
      </w:r>
      <w:r w:rsidR="008734E3" w:rsidRPr="00B87513">
        <w:rPr>
          <w:rFonts w:ascii="TheAntiqua-B4SemiLight--Identit" w:hAnsi="TheAntiqua-B4SemiLight--Identit" w:cs="TheAntiqua-B4SemiLight--Identit"/>
          <w:color w:val="1C0F00"/>
        </w:rPr>
        <w:t xml:space="preserve">als wertvoller </w:t>
      </w:r>
      <w:r w:rsidR="00683EEA">
        <w:rPr>
          <w:rFonts w:ascii="TheAntiqua-B4SemiLight--Identit" w:hAnsi="TheAntiqua-B4SemiLight--Identit" w:cs="TheAntiqua-B4SemiLight--Identit"/>
          <w:color w:val="1C0F00"/>
        </w:rPr>
        <w:t xml:space="preserve">Dünger und </w:t>
      </w:r>
      <w:proofErr w:type="spellStart"/>
      <w:r w:rsidR="00683EEA">
        <w:rPr>
          <w:rFonts w:ascii="TheAntiqua-B4SemiLight--Identit" w:hAnsi="TheAntiqua-B4SemiLight--Identit" w:cs="TheAntiqua-B4SemiLight--Identit"/>
          <w:color w:val="1C0F00"/>
        </w:rPr>
        <w:t>Bodenverbesserer</w:t>
      </w:r>
      <w:proofErr w:type="spellEnd"/>
      <w:r w:rsidR="008734E3" w:rsidRPr="00B87513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732E6D" w:rsidRPr="00B87513">
        <w:rPr>
          <w:rFonts w:ascii="TheAntiqua-B4SemiLight--Identit" w:hAnsi="TheAntiqua-B4SemiLight--Identit" w:cs="TheAntiqua-B4SemiLight--Identit"/>
          <w:color w:val="1C0F00"/>
        </w:rPr>
        <w:t>im Garten oder auf dem Acker.</w:t>
      </w:r>
    </w:p>
    <w:p w:rsidR="00732E6D" w:rsidRDefault="00732E6D" w:rsidP="00732E6D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</w:p>
    <w:p w:rsidR="008734E3" w:rsidRPr="00025A60" w:rsidRDefault="00683EEA" w:rsidP="00732E6D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b/>
          <w:bCs/>
          <w:color w:val="1C0F00"/>
        </w:rPr>
      </w:pPr>
      <w:r>
        <w:rPr>
          <w:rFonts w:ascii="TheAntiqua-B4SemiLight--Identit" w:hAnsi="TheAntiqua-B4SemiLight--Identit" w:cs="TheAntiqua-B4SemiLight--Identit"/>
          <w:b/>
          <w:bCs/>
          <w:color w:val="1C0F00"/>
        </w:rPr>
        <w:t>Kampagne #WIRFUERBIO</w:t>
      </w:r>
    </w:p>
    <w:p w:rsidR="00025A60" w:rsidRPr="00025A60" w:rsidRDefault="00732E6D" w:rsidP="00025A60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Als Mitglied der deutschlandweiten Kampagne #WIRFUERBIO kämpft die KAVG - </w:t>
      </w:r>
      <w:r w:rsidR="000B04C1" w:rsidRPr="00025A60">
        <w:rPr>
          <w:rFonts w:ascii="TheAntiqua-B4SemiLight--Identit" w:hAnsi="TheAntiqua-B4SemiLight--Identit" w:cs="TheAntiqua-B4SemiLight--Identit"/>
          <w:color w:val="1C0F00"/>
        </w:rPr>
        <w:t>gemeinsam mit den Kommunen im Kreis Minden-Lübbecke</w:t>
      </w: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8734E3" w:rsidRPr="00025A60">
        <w:rPr>
          <w:rFonts w:ascii="TheAntiqua-B4SemiLight--Identit" w:hAnsi="TheAntiqua-B4SemiLight--Identit" w:cs="TheAntiqua-B4SemiLight--Identit"/>
          <w:color w:val="1C0F00"/>
        </w:rPr>
        <w:t>und der Umweltberatung der Verbraucherzentrale</w:t>
      </w:r>
      <w:r w:rsidRPr="00025A60">
        <w:rPr>
          <w:rFonts w:ascii="TheAntiqua-B4SemiLight--Identit" w:hAnsi="TheAntiqua-B4SemiLight--Identit" w:cs="TheAntiqua-B4SemiLight--Identit"/>
          <w:color w:val="1C0F00"/>
        </w:rPr>
        <w:t>-</w:t>
      </w:r>
      <w:r w:rsidR="000B04C1" w:rsidRPr="00025A60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gegen </w:t>
      </w:r>
      <w:r w:rsidR="000B04C1" w:rsidRPr="00025A60">
        <w:rPr>
          <w:rFonts w:ascii="TheAntiqua-B4SemiLight--Identit" w:hAnsi="TheAntiqua-B4SemiLight--Identit" w:cs="TheAntiqua-B4SemiLight--Identit"/>
          <w:color w:val="1C0F00"/>
        </w:rPr>
        <w:t>Störstoffe</w:t>
      </w: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 wie</w:t>
      </w:r>
      <w:r w:rsidR="000B04C1" w:rsidRPr="00025A60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3C3E77" w:rsidRPr="00025A60">
        <w:rPr>
          <w:rFonts w:ascii="TheAntiqua-B4SemiLight--Identit" w:hAnsi="TheAntiqua-B4SemiLight--Identit" w:cs="TheAntiqua-B4SemiLight--Identit"/>
          <w:color w:val="1C0F00"/>
        </w:rPr>
        <w:t>Plastiktüten und ‚kompostierbare‘ Plastiktüten</w:t>
      </w: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 </w:t>
      </w:r>
      <w:r w:rsidR="003C3E77" w:rsidRPr="00025A60">
        <w:rPr>
          <w:rFonts w:ascii="TheAntiqua-B4SemiLight--Identit" w:hAnsi="TheAntiqua-B4SemiLight--Identit" w:cs="TheAntiqua-B4SemiLight--Identit"/>
          <w:color w:val="1C0F00"/>
        </w:rPr>
        <w:t>im Bioabfall</w:t>
      </w:r>
      <w:r w:rsidRPr="00025A60">
        <w:rPr>
          <w:rFonts w:ascii="TheAntiqua-B4SemiLight--Identit" w:hAnsi="TheAntiqua-B4SemiLight--Identit" w:cs="TheAntiqua-B4SemiLight--Identit"/>
          <w:color w:val="1C0F00"/>
        </w:rPr>
        <w:t>.</w:t>
      </w:r>
      <w:r w:rsidR="008734E3" w:rsidRPr="00025A60">
        <w:rPr>
          <w:rFonts w:ascii="TheAntiqua-B4SemiLight--Identit" w:hAnsi="TheAntiqua-B4SemiLight--Identit" w:cs="TheAntiqua-B4SemiLight--Identit"/>
          <w:color w:val="1C0F00"/>
        </w:rPr>
        <w:t xml:space="preserve"> </w:t>
      </w:r>
    </w:p>
    <w:p w:rsidR="00732E6D" w:rsidRDefault="008734E3" w:rsidP="00025A60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Geplant sind Aufmerksamkeitsaktionen wie Banner, Anzeigen, </w:t>
      </w:r>
      <w:r w:rsidR="00025A60">
        <w:rPr>
          <w:rFonts w:ascii="TheAntiqua-B4SemiLight--Identit" w:hAnsi="TheAntiqua-B4SemiLight--Identit" w:cs="TheAntiqua-B4SemiLight--Identit"/>
          <w:color w:val="1C0F00"/>
        </w:rPr>
        <w:t xml:space="preserve">Radiowerbung, </w:t>
      </w:r>
      <w:r w:rsidRPr="00025A60">
        <w:rPr>
          <w:rFonts w:ascii="TheAntiqua-B4SemiLight--Identit" w:hAnsi="TheAntiqua-B4SemiLight--Identit" w:cs="TheAntiqua-B4SemiLight--Identit"/>
          <w:color w:val="1C0F00"/>
        </w:rPr>
        <w:t>Fahrzeugwerbung</w:t>
      </w:r>
      <w:r w:rsidR="00025A60">
        <w:rPr>
          <w:rFonts w:ascii="TheAntiqua-B4SemiLight--Identit" w:hAnsi="TheAntiqua-B4SemiLight--Identit" w:cs="TheAntiqua-B4SemiLight--Identit"/>
          <w:color w:val="1C0F00"/>
        </w:rPr>
        <w:t xml:space="preserve"> sowie </w:t>
      </w:r>
      <w:r w:rsidRPr="00025A60">
        <w:rPr>
          <w:rFonts w:ascii="TheAntiqua-B4SemiLight--Identit" w:hAnsi="TheAntiqua-B4SemiLight--Identit" w:cs="TheAntiqua-B4SemiLight--Identit"/>
          <w:color w:val="1C0F00"/>
        </w:rPr>
        <w:t xml:space="preserve">Information (z.B. Flyer, Homepage) und Aktionen (z.B. „Wanderausstellung“ in Rathäusern, Info-Stände etc.) </w:t>
      </w:r>
    </w:p>
    <w:p w:rsidR="00025A60" w:rsidRDefault="00025A60" w:rsidP="00025A60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>
        <w:rPr>
          <w:rFonts w:ascii="TheAntiqua-B4SemiLight--Identit" w:hAnsi="TheAntiqua-B4SemiLight--Identit" w:cs="TheAntiqua-B4SemiLight--Identit"/>
          <w:color w:val="1C0F00"/>
        </w:rPr>
        <w:t>#WIRFUERBIO-Service-Nummer der KAVG: 0571 6456 6277</w:t>
      </w:r>
    </w:p>
    <w:p w:rsidR="00683EEA" w:rsidRPr="00683EEA" w:rsidRDefault="00683EEA" w:rsidP="00683EEA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</w:p>
    <w:p w:rsidR="00683EEA" w:rsidRPr="00E65EF1" w:rsidRDefault="00E65EF1" w:rsidP="003C3E77">
      <w:p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b/>
          <w:bCs/>
          <w:color w:val="1C0F00"/>
        </w:rPr>
      </w:pPr>
      <w:r>
        <w:rPr>
          <w:rFonts w:ascii="TheAntiqua-B4SemiLight--Identit" w:hAnsi="TheAntiqua-B4SemiLight--Identit" w:cs="TheAntiqua-B4SemiLight--Identit"/>
          <w:b/>
          <w:bCs/>
          <w:color w:val="1C0F00"/>
        </w:rPr>
        <w:t xml:space="preserve">Hinweise und </w:t>
      </w:r>
      <w:r w:rsidR="00683EEA" w:rsidRPr="00E65EF1">
        <w:rPr>
          <w:rFonts w:ascii="TheAntiqua-B4SemiLight--Identit" w:hAnsi="TheAntiqua-B4SemiLight--Identit" w:cs="TheAntiqua-B4SemiLight--Identit"/>
          <w:b/>
          <w:bCs/>
          <w:color w:val="1C0F00"/>
        </w:rPr>
        <w:t>Tipp</w:t>
      </w:r>
      <w:r>
        <w:rPr>
          <w:rFonts w:ascii="TheAntiqua-B4SemiLight--Identit" w:hAnsi="TheAntiqua-B4SemiLight--Identit" w:cs="TheAntiqua-B4SemiLight--Identit"/>
          <w:b/>
          <w:bCs/>
          <w:color w:val="1C0F00"/>
        </w:rPr>
        <w:t>s</w:t>
      </w:r>
      <w:r w:rsidR="00683EEA" w:rsidRPr="00E65EF1">
        <w:rPr>
          <w:rFonts w:ascii="TheAntiqua-B4SemiLight--Identit" w:hAnsi="TheAntiqua-B4SemiLight--Identit" w:cs="TheAntiqua-B4SemiLight--Identit"/>
          <w:b/>
          <w:bCs/>
          <w:color w:val="1C0F00"/>
        </w:rPr>
        <w:t>:</w:t>
      </w:r>
    </w:p>
    <w:p w:rsidR="00683EEA" w:rsidRDefault="00A627FA" w:rsidP="00683EEA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A627FA">
        <w:rPr>
          <w:rFonts w:ascii="TheAntiqua-B4SemiLight--Identit" w:hAnsi="TheAntiqua-B4SemiLight--Identit" w:cs="TheAntiqua-B4SemiLight--Identit"/>
          <w:color w:val="1C0F00"/>
        </w:rPr>
        <w:t>A</w:t>
      </w:r>
      <w:r w:rsidR="00683EEA" w:rsidRPr="00A627FA">
        <w:rPr>
          <w:rFonts w:ascii="TheAntiqua-B4SemiLight--Identit" w:hAnsi="TheAntiqua-B4SemiLight--Identit" w:cs="TheAntiqua-B4SemiLight--Identit"/>
          <w:color w:val="1C0F00"/>
        </w:rPr>
        <w:t>uf kompostierbare Papiertüten aus dem Handel zurückgreifen oder Bioabfall einfach in Zeitungspapier einwickeln, bevor er in der Biotonne landet.</w:t>
      </w:r>
    </w:p>
    <w:p w:rsidR="00A627FA" w:rsidRPr="00B87513" w:rsidRDefault="00A627FA" w:rsidP="00A627FA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B87513">
        <w:rPr>
          <w:rFonts w:ascii="TheAntiqua-B4SemiLight--Identit" w:hAnsi="TheAntiqua-B4SemiLight--Identit" w:cs="TheAntiqua-B4SemiLight--Identit"/>
          <w:color w:val="1C0F00"/>
        </w:rPr>
        <w:t>Wichtig: auch die neuen sogenannten „kompostierbaren“ Produkte wie beispielsweise Kaffeekapseln, Hygieneartikel oder Einweggeschirr dürfen nicht in die Biotonne!</w:t>
      </w:r>
    </w:p>
    <w:p w:rsidR="00683EEA" w:rsidRPr="00E65EF1" w:rsidRDefault="00683EEA" w:rsidP="00E65EF1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E65EF1">
        <w:rPr>
          <w:rFonts w:ascii="TheAntiqua-B4SemiLight--Identit" w:hAnsi="TheAntiqua-B4SemiLight--Identit" w:cs="TheAntiqua-B4SemiLight--Identit"/>
          <w:color w:val="1C0F00"/>
        </w:rPr>
        <w:t xml:space="preserve">Bei Unsicherheiten zur Bioabfall-Trennung: </w:t>
      </w:r>
      <w:r w:rsidR="00E65EF1">
        <w:rPr>
          <w:rFonts w:ascii="TheAntiqua-B4SemiLight--Identit" w:hAnsi="TheAntiqua-B4SemiLight--Identit" w:cs="TheAntiqua-B4SemiLight--Identit"/>
          <w:color w:val="1C0F00"/>
        </w:rPr>
        <w:t xml:space="preserve">KAVG </w:t>
      </w:r>
      <w:r w:rsidRPr="00E65EF1">
        <w:rPr>
          <w:rFonts w:ascii="TheAntiqua-B4SemiLight--Identit" w:hAnsi="TheAntiqua-B4SemiLight--Identit" w:cs="TheAntiqua-B4SemiLight--Identit"/>
          <w:color w:val="1C0F00"/>
        </w:rPr>
        <w:t xml:space="preserve">Service-Nummer 0571 6456 6277 </w:t>
      </w:r>
    </w:p>
    <w:p w:rsidR="00A14648" w:rsidRPr="00683EEA" w:rsidRDefault="00683EEA" w:rsidP="00E65EF1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>
        <w:rPr>
          <w:rFonts w:ascii="TheAntiqua-B4SemiLight--Identit" w:hAnsi="TheAntiqua-B4SemiLight--Identit" w:cs="TheAntiqua-B4SemiLight--Identit"/>
          <w:color w:val="1C0F00"/>
        </w:rPr>
        <w:lastRenderedPageBreak/>
        <w:t>w</w:t>
      </w:r>
      <w:r w:rsidR="003C3E77" w:rsidRPr="00683EEA">
        <w:rPr>
          <w:rFonts w:ascii="TheAntiqua-B4SemiLight--Identit" w:hAnsi="TheAntiqua-B4SemiLight--Identit" w:cs="TheAntiqua-B4SemiLight--Identit"/>
          <w:color w:val="1C0F00"/>
        </w:rPr>
        <w:t xml:space="preserve">eitere Informationen unter </w:t>
      </w:r>
      <w:hyperlink r:id="rId6" w:history="1">
        <w:r w:rsidR="003C3E77" w:rsidRPr="00683EEA">
          <w:rPr>
            <w:rStyle w:val="Hyperlink"/>
            <w:rFonts w:ascii="TheAntiqua-B4SemiLight--Identit" w:hAnsi="TheAntiqua-B4SemiLight--Identit" w:cs="TheAntiqua-B4SemiLight--Identit"/>
          </w:rPr>
          <w:t>www.kavg-ml.de</w:t>
        </w:r>
      </w:hyperlink>
      <w:r w:rsidR="003C3E77" w:rsidRPr="00683EEA">
        <w:rPr>
          <w:rFonts w:ascii="TheAntiqua-B4SemiLight--Identit" w:hAnsi="TheAntiqua-B4SemiLight--Identit" w:cs="TheAntiqua-B4SemiLight--Identit"/>
          <w:color w:val="1C0F00"/>
        </w:rPr>
        <w:t xml:space="preserve"> und unter </w:t>
      </w:r>
      <w:hyperlink r:id="rId7" w:history="1">
        <w:r w:rsidR="003C3E77" w:rsidRPr="00683EEA">
          <w:rPr>
            <w:rStyle w:val="Hyperlink"/>
            <w:rFonts w:ascii="TheAntiqua-B4SemiLight--Identit" w:hAnsi="TheAntiqua-B4SemiLight--Identit" w:cs="TheAntiqua-B4SemiLight--Identit"/>
          </w:rPr>
          <w:t>www.wirfuerbio.de/kavg-ml.de</w:t>
        </w:r>
      </w:hyperlink>
      <w:r w:rsidR="003C3E77" w:rsidRPr="00683EEA">
        <w:rPr>
          <w:rFonts w:ascii="TheAntiqua-B4SemiLight--Identit" w:hAnsi="TheAntiqua-B4SemiLight--Identit" w:cs="TheAntiqua-B4SemiLight--Identit"/>
          <w:color w:val="1C0F00"/>
        </w:rPr>
        <w:t xml:space="preserve"> </w:t>
      </w:r>
    </w:p>
    <w:p w:rsidR="00683EEA" w:rsidRPr="00F94467" w:rsidRDefault="00683EEA" w:rsidP="00AB49B6">
      <w:pPr>
        <w:pStyle w:val="Listenabsatz"/>
        <w:autoSpaceDE w:val="0"/>
        <w:autoSpaceDN w:val="0"/>
        <w:adjustRightInd w:val="0"/>
        <w:spacing w:after="0" w:line="240" w:lineRule="auto"/>
        <w:rPr>
          <w:rFonts w:ascii="TheAntiqua-B4SemiLight--Identit" w:hAnsi="TheAntiqua-B4SemiLight--Identit" w:cs="TheAntiqua-B4SemiLight--Identit"/>
          <w:color w:val="1C0F00"/>
        </w:rPr>
      </w:pPr>
      <w:r w:rsidRPr="00F94467">
        <w:rPr>
          <w:rFonts w:ascii="TheAntiqua-B4SemiLight--Identit" w:hAnsi="TheAntiqua-B4SemiLight--Identit" w:cs="TheAntiqua-B4SemiLight--Identit"/>
          <w:color w:val="1C0F00"/>
        </w:rPr>
        <w:t xml:space="preserve"> </w:t>
      </w:r>
    </w:p>
    <w:sectPr w:rsidR="00683EEA" w:rsidRPr="00F944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eAntiqua-B4SemiLight--Identi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 Thin Cn">
    <w:altName w:val="Swis721 LtCn BT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HelveticaNeueLT Std Med Cn">
    <w:altName w:val="Franklin Gothic Medium Con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orpidCd-Bold--Identity-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pid-Bold--Identity-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4F50"/>
    <w:multiLevelType w:val="hybridMultilevel"/>
    <w:tmpl w:val="F23C6BCE"/>
    <w:lvl w:ilvl="0" w:tplc="1F52DF88">
      <w:numFmt w:val="bullet"/>
      <w:lvlText w:val="-"/>
      <w:lvlJc w:val="left"/>
      <w:pPr>
        <w:ind w:left="720" w:hanging="360"/>
      </w:pPr>
      <w:rPr>
        <w:rFonts w:ascii="TheAntiqua-B4SemiLight--Identit" w:eastAsiaTheme="minorHAnsi" w:hAnsi="TheAntiqua-B4SemiLight--Identit" w:cs="TheAntiqua-B4SemiLight--Identi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F136A"/>
    <w:multiLevelType w:val="hybridMultilevel"/>
    <w:tmpl w:val="1268A0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35ACC"/>
    <w:multiLevelType w:val="hybridMultilevel"/>
    <w:tmpl w:val="F9FC024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D42833"/>
    <w:multiLevelType w:val="hybridMultilevel"/>
    <w:tmpl w:val="E244C9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4089E"/>
    <w:multiLevelType w:val="hybridMultilevel"/>
    <w:tmpl w:val="A7A01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360F1D"/>
    <w:multiLevelType w:val="hybridMultilevel"/>
    <w:tmpl w:val="0DFAA7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E77"/>
    <w:rsid w:val="00025A60"/>
    <w:rsid w:val="000B04C1"/>
    <w:rsid w:val="003C3E77"/>
    <w:rsid w:val="00683EEA"/>
    <w:rsid w:val="00701A5C"/>
    <w:rsid w:val="00732E6D"/>
    <w:rsid w:val="007E72C2"/>
    <w:rsid w:val="008734E3"/>
    <w:rsid w:val="009F7C3A"/>
    <w:rsid w:val="00A14648"/>
    <w:rsid w:val="00A627FA"/>
    <w:rsid w:val="00AB49B6"/>
    <w:rsid w:val="00B87513"/>
    <w:rsid w:val="00C27521"/>
    <w:rsid w:val="00C34965"/>
    <w:rsid w:val="00DE6DB3"/>
    <w:rsid w:val="00E25A88"/>
    <w:rsid w:val="00E65EF1"/>
    <w:rsid w:val="00EF6A56"/>
    <w:rsid w:val="00F94467"/>
    <w:rsid w:val="00FE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7521"/>
    <w:pPr>
      <w:keepNext/>
      <w:keepLines/>
      <w:spacing w:before="240" w:after="240" w:line="760" w:lineRule="exact"/>
      <w:outlineLvl w:val="0"/>
    </w:pPr>
    <w:rPr>
      <w:rFonts w:ascii="HelveticaNeueLT Std Thin Cn" w:eastAsiaTheme="majorEastAsia" w:hAnsi="HelveticaNeueLT Std Thin Cn" w:cstheme="majorBidi"/>
      <w:color w:val="B6C932"/>
      <w:sz w:val="68"/>
      <w:szCs w:val="6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7521"/>
    <w:rPr>
      <w:rFonts w:ascii="HelveticaNeueLT Std Thin Cn" w:eastAsiaTheme="majorEastAsia" w:hAnsi="HelveticaNeueLT Std Thin Cn" w:cstheme="majorBidi"/>
      <w:color w:val="B6C932"/>
      <w:sz w:val="68"/>
      <w:szCs w:val="68"/>
    </w:rPr>
  </w:style>
  <w:style w:type="character" w:styleId="Hyperlink">
    <w:name w:val="Hyperlink"/>
    <w:basedOn w:val="Absatz-Standardschriftart"/>
    <w:uiPriority w:val="99"/>
    <w:unhideWhenUsed/>
    <w:rsid w:val="003C3E77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C3E77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C3E77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B8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7521"/>
    <w:pPr>
      <w:keepNext/>
      <w:keepLines/>
      <w:spacing w:before="240" w:after="240" w:line="760" w:lineRule="exact"/>
      <w:outlineLvl w:val="0"/>
    </w:pPr>
    <w:rPr>
      <w:rFonts w:ascii="HelveticaNeueLT Std Thin Cn" w:eastAsiaTheme="majorEastAsia" w:hAnsi="HelveticaNeueLT Std Thin Cn" w:cstheme="majorBidi"/>
      <w:color w:val="B6C932"/>
      <w:sz w:val="68"/>
      <w:szCs w:val="6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7521"/>
    <w:rPr>
      <w:rFonts w:ascii="HelveticaNeueLT Std Thin Cn" w:eastAsiaTheme="majorEastAsia" w:hAnsi="HelveticaNeueLT Std Thin Cn" w:cstheme="majorBidi"/>
      <w:color w:val="B6C932"/>
      <w:sz w:val="68"/>
      <w:szCs w:val="68"/>
    </w:rPr>
  </w:style>
  <w:style w:type="character" w:styleId="Hyperlink">
    <w:name w:val="Hyperlink"/>
    <w:basedOn w:val="Absatz-Standardschriftart"/>
    <w:uiPriority w:val="99"/>
    <w:unhideWhenUsed/>
    <w:rsid w:val="003C3E77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C3E77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C3E77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B87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irfuerbio.de/kavg-ml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vg-ml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2427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Aumann</dc:creator>
  <cp:lastModifiedBy>Steinmeier, Inga (Stadt Rahden)</cp:lastModifiedBy>
  <cp:revision>2</cp:revision>
  <dcterms:created xsi:type="dcterms:W3CDTF">2020-04-21T06:15:00Z</dcterms:created>
  <dcterms:modified xsi:type="dcterms:W3CDTF">2020-04-21T06:15:00Z</dcterms:modified>
</cp:coreProperties>
</file>